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F3864"/>
          <w:sz w:val="36"/>
          <w:szCs w:val="36"/>
        </w:rPr>
        <w:t xml:space="preserve">VERONICA INDIRA GAYMON</w:t>
      </w:r>
    </w:p>
    <w:p>
      <w:pPr>
        <w:spacing w:after="60"/>
        <w:jc w:val="center"/>
      </w:pPr>
      <w:r>
        <w:rPr>
          <w:rFonts w:ascii="Arial" w:cs="Arial" w:eastAsia="Arial" w:hAnsi="Arial"/>
          <w:b/>
          <w:bCs/>
          <w:color w:val="2E75B6"/>
          <w:sz w:val="24"/>
          <w:szCs w:val="24"/>
        </w:rPr>
        <w:t xml:space="preserve">Senior Insurance Product Manager  |  Digital &amp; Data-Driven Strategy</w:t>
      </w:r>
    </w:p>
    <w:p>
      <w:pPr>
        <w:pBdr>
          <w:bottom w:val="single" w:color="2E75B6" w:sz="6"/>
        </w:pBdr>
        <w:spacing w:after="160"/>
        <w:jc w:val="center"/>
      </w:pPr>
      <w:r>
        <w:rPr>
          <w:rFonts w:ascii="Arial" w:cs="Arial" w:eastAsia="Arial" w:hAnsi="Arial"/>
          <w:sz w:val="18"/>
          <w:szCs w:val="18"/>
        </w:rPr>
        <w:t xml:space="preserve">Sumter, SC  |  719-238-9163  |  veronicagaymon@icloud.com  |  </w:t>
      </w:r>
      <w:hyperlink w:history="1" r:id="rId453gewvbfs1tnorwyyfg4">
        <w:r>
          <w:rPr>
            <w:rFonts w:ascii="Arial" w:cs="Arial" w:eastAsia="Arial" w:hAnsi="Arial"/>
            <w:color w:val="2E75B6"/>
            <w:sz w:val="18"/>
            <w:szCs w:val="18"/>
            <w:u w:val="single"/>
          </w:rPr>
          <w:t xml:space="preserve">linkedin.com/in/veronicagaymon</w:t>
        </w:r>
      </w:hyperlink>
    </w:p>
    <w:p>
      <w:pPr>
        <w:pBdr>
          <w:bottom w:val="single" w:color="2E75B6" w:sz="6"/>
        </w:pBdr>
        <w:shd w:fill="1F3864" w:val="clear"/>
        <w:spacing w:before="200" w:after="100"/>
      </w:pPr>
      <w:r>
        <w:rPr>
          <w:rFonts w:ascii="Arial" w:cs="Arial" w:eastAsia="Arial" w:hAnsi="Arial"/>
          <w:b/>
          <w:bCs/>
          <w:color w:val="FFFFFF"/>
          <w:sz w:val="22"/>
          <w:szCs w:val="22"/>
        </w:rPr>
        <w:t xml:space="preserve">PROFESSIONAL SUMMARY</w:t>
      </w:r>
    </w:p>
    <w:p>
      <w:pPr>
        <w:spacing w:before="100" w:after="100"/>
      </w:pPr>
      <w:r>
        <w:rPr>
          <w:rFonts w:ascii="Arial" w:cs="Arial" w:eastAsia="Arial" w:hAnsi="Arial"/>
          <w:sz w:val="20"/>
          <w:szCs w:val="20"/>
        </w:rPr>
        <w:t xml:space="preserve">Senior Product Manager with 9+ years of experience owning end-to-end product strategy, lifecycle management, and data-driven optimization in regulated insurance and financial services environments. Proven track record leading cross-functional initiatives across actuarial, underwriting, compliance, and technology teams to deliver profitable, scalable products. Skilled at translating complex data into compelling narratives that influence executive decisions and drive measurable outcomes. Experienced in multi-state product launches, regulatory compliance collaboration, and KPI / KRI monitoring. Energized by building products that serve passionate communities — and ready to bring that drive to automotive enthusiast insurance.</w:t>
      </w:r>
    </w:p>
    <w:p>
      <w:pPr>
        <w:pBdr>
          <w:bottom w:val="single" w:color="2E75B6" w:sz="6"/>
        </w:pBdr>
        <w:shd w:fill="1F3864" w:val="clear"/>
        <w:spacing w:before="200" w:after="100"/>
      </w:pPr>
      <w:r>
        <w:rPr>
          <w:rFonts w:ascii="Arial" w:cs="Arial" w:eastAsia="Arial" w:hAnsi="Arial"/>
          <w:b/>
          <w:bCs/>
          <w:color w:val="FFFFFF"/>
          <w:sz w:val="22"/>
          <w:szCs w:val="22"/>
        </w:rPr>
        <w:t xml:space="preserve">CORE COMPETENCIES</w:t>
      </w:r>
    </w:p>
    <w:p>
      <w:pPr>
        <w:spacing w:before="80" w:after="80"/>
        <w:jc w:val="center"/>
      </w:pPr>
      <w:r>
        <w:rPr>
          <w:rFonts w:ascii="Arial" w:cs="Arial" w:eastAsia="Arial" w:hAnsi="Arial"/>
          <w:sz w:val="20"/>
          <w:szCs w:val="20"/>
        </w:rPr>
        <w:t xml:space="preserve">Insurance Product Strategy &amp; Lifecycle Management  •  Multi-State Product Launches &amp; Regulatory Filings  •  Profitability &amp; Loss Ratio Analysis  •  KPI / KRI Definition &amp; Monitoring  •  Data Analytics (SQL, Tableau, Excel)  •  Cross-Functional Collaboration (Actuarial, Underwriting, Claims, Legal)  •  Compliance &amp; Regulatory Alignment  •  Pricing Methodology &amp; Product Optimization  •  Agile &amp; Scrum Delivery  •  Executive Communication &amp; Stakeholder Influence  •  Market &amp; Competitive Analysis  •  API &amp; Platform Integration</w:t>
      </w:r>
    </w:p>
    <w:p>
      <w:pPr>
        <w:pBdr>
          <w:bottom w:val="single" w:color="2E75B6" w:sz="6"/>
        </w:pBdr>
        <w:shd w:fill="1F3864" w:val="clear"/>
        <w:spacing w:before="200" w:after="100"/>
      </w:pPr>
      <w:r>
        <w:rPr>
          <w:rFonts w:ascii="Arial" w:cs="Arial" w:eastAsia="Arial" w:hAnsi="Arial"/>
          <w:b/>
          <w:bCs/>
          <w:color w:val="FFFFFF"/>
          <w:sz w:val="22"/>
          <w:szCs w:val="22"/>
        </w:rPr>
        <w:t xml:space="preserve">PROFESSIONAL EXPERIENCE</w:t>
      </w:r>
    </w:p>
    <w:p>
      <w:pPr>
        <w:spacing w:before="180" w:after="40"/>
      </w:pPr>
      <w:r>
        <w:rPr>
          <w:rFonts w:ascii="Arial" w:cs="Arial" w:eastAsia="Arial" w:hAnsi="Arial"/>
          <w:b/>
          <w:bCs/>
          <w:color w:val="2E75B6"/>
          <w:sz w:val="22"/>
          <w:szCs w:val="22"/>
        </w:rPr>
        <w:t xml:space="preserve">Senior Digital / Technical Product Manager – Insurance &amp; Servicing Platforms</w:t>
      </w:r>
    </w:p>
    <w:p>
      <w:pPr>
        <w:spacing w:after="60"/>
      </w:pPr>
      <w:r>
        <w:rPr>
          <w:rFonts w:ascii="Arial" w:cs="Arial" w:eastAsia="Arial" w:hAnsi="Arial"/>
          <w:b/>
          <w:bCs/>
          <w:sz w:val="20"/>
          <w:szCs w:val="20"/>
        </w:rPr>
        <w:t xml:space="preserve">USAA Federal Savings Bank  |  Remote</w:t>
      </w:r>
      <w:r>
        <w:rPr>
          <w:rFonts w:ascii="Arial" w:cs="Arial" w:eastAsia="Arial" w:hAnsi="Arial"/>
          <w:color w:val="666666"/>
          <w:sz w:val="20"/>
          <w:szCs w:val="20"/>
        </w:rPr>
        <w:t xml:space="preserve">  |  2020 – 2023</w:t>
      </w:r>
    </w:p>
    <w:p>
      <w:pPr>
        <w:spacing w:before="0" w:after="60"/>
      </w:pPr>
      <w:r>
        <w:rPr>
          <w:rFonts w:ascii="Arial" w:cs="Arial" w:eastAsia="Arial" w:hAnsi="Arial"/>
          <w:i/>
          <w:iCs/>
          <w:color w:val="444444"/>
          <w:sz w:val="20"/>
          <w:szCs w:val="20"/>
        </w:rPr>
        <w:t xml:space="preserve">Owned digital insurance product strategy across consumer-facing servicing and onboarding platforms, collaborating with underwriting, compliance, risk, and engineering to deliver compliant, scalable solutions for millions of members.</w:t>
      </w:r>
    </w:p>
    <w:p>
      <w:pPr>
        <w:pStyle w:val="ListParagraph"/>
        <w:numPr>
          <w:ilvl w:val="0"/>
          <w:numId w:val="2"/>
        </w:numPr>
        <w:spacing w:before="40" w:after="40"/>
      </w:pPr>
      <w:r>
        <w:rPr>
          <w:rFonts w:ascii="Arial" w:cs="Arial" w:eastAsia="Arial" w:hAnsi="Arial"/>
          <w:sz w:val="20"/>
          <w:szCs w:val="20"/>
        </w:rPr>
        <w:t xml:space="preserve">Owned and optimized end-to-end digital insurance product experiences — including discovery, onboarding, and self-service — supporting large-scale personal auto and financial product lines.</w:t>
      </w:r>
    </w:p>
    <w:p>
      <w:pPr>
        <w:pStyle w:val="ListParagraph"/>
        <w:numPr>
          <w:ilvl w:val="0"/>
          <w:numId w:val="2"/>
        </w:numPr>
        <w:spacing w:before="40" w:after="40"/>
      </w:pPr>
      <w:r>
        <w:rPr>
          <w:rFonts w:ascii="Arial" w:cs="Arial" w:eastAsia="Arial" w:hAnsi="Arial"/>
          <w:sz w:val="20"/>
          <w:szCs w:val="20"/>
        </w:rPr>
        <w:t xml:space="preserve">Analyzed high-volume servicing transactions using digital analytics tools (Tableau, SQL) to identify performance trends, friction points, and optimization opportunities, translating insights into prioritized product roadmap actions.</w:t>
      </w:r>
    </w:p>
    <w:p>
      <w:pPr>
        <w:pStyle w:val="ListParagraph"/>
        <w:numPr>
          <w:ilvl w:val="0"/>
          <w:numId w:val="2"/>
        </w:numPr>
        <w:spacing w:before="40" w:after="40"/>
      </w:pPr>
      <w:r>
        <w:rPr>
          <w:rFonts w:ascii="Arial" w:cs="Arial" w:eastAsia="Arial" w:hAnsi="Arial"/>
          <w:sz w:val="20"/>
          <w:szCs w:val="20"/>
        </w:rPr>
        <w:t xml:space="preserve">Led cross-channel product initiatives across mobile and web to improve conversion, engagement, retention, and self-service adoption — directly improving loss experience and operational efficiency.</w:t>
      </w:r>
    </w:p>
    <w:p>
      <w:pPr>
        <w:pStyle w:val="ListParagraph"/>
        <w:numPr>
          <w:ilvl w:val="0"/>
          <w:numId w:val="2"/>
        </w:numPr>
        <w:spacing w:before="40" w:after="40"/>
      </w:pPr>
      <w:r>
        <w:rPr>
          <w:rFonts w:ascii="Arial" w:cs="Arial" w:eastAsia="Arial" w:hAnsi="Arial"/>
          <w:sz w:val="20"/>
          <w:szCs w:val="20"/>
        </w:rPr>
        <w:t xml:space="preserve">Defined and monitored KPIs and KRIs to evaluate digital product performance, profitability trends, and member satisfaction, using data to guide strategic prioritization.</w:t>
      </w:r>
    </w:p>
    <w:p>
      <w:pPr>
        <w:pStyle w:val="ListParagraph"/>
        <w:numPr>
          <w:ilvl w:val="0"/>
          <w:numId w:val="2"/>
        </w:numPr>
        <w:spacing w:before="40" w:after="40"/>
      </w:pPr>
      <w:r>
        <w:rPr>
          <w:rFonts w:ascii="Arial" w:cs="Arial" w:eastAsia="Arial" w:hAnsi="Arial"/>
          <w:sz w:val="20"/>
          <w:szCs w:val="20"/>
        </w:rPr>
        <w:t xml:space="preserve">Partnered with Engineering, UX, Marketing, Risk, and Compliance to deliver secure, regulatory-compliant digital insurance solutions, ensuring alignment with state-level requirements.</w:t>
      </w:r>
    </w:p>
    <w:p>
      <w:pPr>
        <w:pStyle w:val="ListParagraph"/>
        <w:numPr>
          <w:ilvl w:val="0"/>
          <w:numId w:val="2"/>
        </w:numPr>
        <w:spacing w:before="40" w:after="40"/>
      </w:pPr>
      <w:r>
        <w:rPr>
          <w:rFonts w:ascii="Arial" w:cs="Arial" w:eastAsia="Arial" w:hAnsi="Arial"/>
          <w:sz w:val="20"/>
          <w:szCs w:val="20"/>
        </w:rPr>
        <w:t xml:space="preserve">Collaborated closely with actuarial and underwriting teams to ensure product features aligned with pricing methodologies and risk appetite.</w:t>
      </w:r>
    </w:p>
    <w:p>
      <w:pPr>
        <w:pStyle w:val="ListParagraph"/>
        <w:numPr>
          <w:ilvl w:val="0"/>
          <w:numId w:val="2"/>
        </w:numPr>
        <w:spacing w:before="40" w:after="40"/>
      </w:pPr>
      <w:r>
        <w:rPr>
          <w:rFonts w:ascii="Arial" w:cs="Arial" w:eastAsia="Arial" w:hAnsi="Arial"/>
          <w:sz w:val="20"/>
          <w:szCs w:val="20"/>
        </w:rPr>
        <w:t xml:space="preserve">Managed product roadmaps, backlogs, and sprint planning in a highly regulated insurance environment, balancing strategic vision with hands-on execution.</w:t>
      </w:r>
    </w:p>
    <w:p>
      <w:pPr>
        <w:spacing w:before="180" w:after="40"/>
      </w:pPr>
      <w:r>
        <w:rPr>
          <w:rFonts w:ascii="Arial" w:cs="Arial" w:eastAsia="Arial" w:hAnsi="Arial"/>
          <w:b/>
          <w:bCs/>
          <w:color w:val="2E75B6"/>
          <w:sz w:val="22"/>
          <w:szCs w:val="22"/>
        </w:rPr>
        <w:t xml:space="preserve">Senior Product Manager – Digital Platforms &amp; Data Strategy</w:t>
      </w:r>
    </w:p>
    <w:p>
      <w:pPr>
        <w:spacing w:after="60"/>
      </w:pPr>
      <w:r>
        <w:rPr>
          <w:rFonts w:ascii="Arial" w:cs="Arial" w:eastAsia="Arial" w:hAnsi="Arial"/>
          <w:b/>
          <w:bCs/>
          <w:sz w:val="20"/>
          <w:szCs w:val="20"/>
        </w:rPr>
        <w:t xml:space="preserve">Principal Financial Group  |  Remote</w:t>
      </w:r>
      <w:r>
        <w:rPr>
          <w:rFonts w:ascii="Arial" w:cs="Arial" w:eastAsia="Arial" w:hAnsi="Arial"/>
          <w:color w:val="666666"/>
          <w:sz w:val="20"/>
          <w:szCs w:val="20"/>
        </w:rPr>
        <w:t xml:space="preserve">  |  2023 – Present</w:t>
      </w:r>
    </w:p>
    <w:p>
      <w:pPr>
        <w:spacing w:before="0" w:after="60"/>
      </w:pPr>
      <w:r>
        <w:rPr>
          <w:rFonts w:ascii="Arial" w:cs="Arial" w:eastAsia="Arial" w:hAnsi="Arial"/>
          <w:i/>
          <w:iCs/>
          <w:color w:val="444444"/>
          <w:sz w:val="20"/>
          <w:szCs w:val="20"/>
        </w:rPr>
        <w:t xml:space="preserve">Leading modernization and API-driven product strategy for a regulated financial services platform, owning cross-functional delivery from concept through launch across multiple advisor- and client-facing workflows.</w:t>
      </w:r>
    </w:p>
    <w:p>
      <w:pPr>
        <w:pStyle w:val="ListParagraph"/>
        <w:numPr>
          <w:ilvl w:val="0"/>
          <w:numId w:val="2"/>
        </w:numPr>
        <w:spacing w:before="40" w:after="40"/>
      </w:pPr>
      <w:r>
        <w:rPr>
          <w:rFonts w:ascii="Arial" w:cs="Arial" w:eastAsia="Arial" w:hAnsi="Arial"/>
          <w:sz w:val="20"/>
          <w:szCs w:val="20"/>
        </w:rPr>
        <w:t xml:space="preserve">Driving product strategy and roadmap execution for digital onboarding and suitability workflows, including a Risk Tolerance Questionnaire (RTQ) API — closely analogous to insurance product eligibility and underwriting intake flows.</w:t>
      </w:r>
    </w:p>
    <w:p>
      <w:pPr>
        <w:pStyle w:val="ListParagraph"/>
        <w:numPr>
          <w:ilvl w:val="0"/>
          <w:numId w:val="2"/>
        </w:numPr>
        <w:spacing w:before="40" w:after="40"/>
      </w:pPr>
      <w:r>
        <w:rPr>
          <w:rFonts w:ascii="Arial" w:cs="Arial" w:eastAsia="Arial" w:hAnsi="Arial"/>
          <w:sz w:val="20"/>
          <w:szCs w:val="20"/>
        </w:rPr>
        <w:t xml:space="preserve">Partnering with actuarial, compliance, legal, and risk stakeholders to ensure regulatory alignment and production readiness across multiple jurisdictions.</w:t>
      </w:r>
    </w:p>
    <w:p>
      <w:pPr>
        <w:pStyle w:val="ListParagraph"/>
        <w:numPr>
          <w:ilvl w:val="0"/>
          <w:numId w:val="2"/>
        </w:numPr>
        <w:spacing w:before="40" w:after="40"/>
      </w:pPr>
      <w:r>
        <w:rPr>
          <w:rFonts w:ascii="Arial" w:cs="Arial" w:eastAsia="Arial" w:hAnsi="Arial"/>
          <w:sz w:val="20"/>
          <w:szCs w:val="20"/>
        </w:rPr>
        <w:t xml:space="preserve">Defining and tracking KPIs to measure adoption, funnel performance, conversion rates, and experience improvements — translating data stories into executive-ready presentations.</w:t>
      </w:r>
    </w:p>
    <w:p>
      <w:pPr>
        <w:pStyle w:val="ListParagraph"/>
        <w:numPr>
          <w:ilvl w:val="0"/>
          <w:numId w:val="2"/>
        </w:numPr>
        <w:spacing w:before="40" w:after="40"/>
      </w:pPr>
      <w:r>
        <w:rPr>
          <w:rFonts w:ascii="Arial" w:cs="Arial" w:eastAsia="Arial" w:hAnsi="Arial"/>
          <w:sz w:val="20"/>
          <w:szCs w:val="20"/>
        </w:rPr>
        <w:t xml:space="preserve">Conducting market research and competitive analysis to inform roadmap prioritization and product positioning.</w:t>
      </w:r>
    </w:p>
    <w:p>
      <w:pPr>
        <w:pStyle w:val="ListParagraph"/>
        <w:numPr>
          <w:ilvl w:val="0"/>
          <w:numId w:val="2"/>
        </w:numPr>
        <w:spacing w:before="40" w:after="40"/>
      </w:pPr>
      <w:r>
        <w:rPr>
          <w:rFonts w:ascii="Arial" w:cs="Arial" w:eastAsia="Arial" w:hAnsi="Arial"/>
          <w:sz w:val="20"/>
          <w:szCs w:val="20"/>
        </w:rPr>
        <w:t xml:space="preserve">Embedding integrated platform experiences within Salesforce CRM to eliminate workflow friction, supporting frontline advisor teams during product launches — directly applicable to agent and member-facing insurance rollouts.</w:t>
      </w:r>
    </w:p>
    <w:p>
      <w:pPr>
        <w:spacing w:before="180" w:after="40"/>
      </w:pPr>
      <w:r>
        <w:rPr>
          <w:rFonts w:ascii="Arial" w:cs="Arial" w:eastAsia="Arial" w:hAnsi="Arial"/>
          <w:b/>
          <w:bCs/>
          <w:color w:val="2E75B6"/>
          <w:sz w:val="22"/>
          <w:szCs w:val="22"/>
        </w:rPr>
        <w:t xml:space="preserve">Lead Product Manager – Data &amp; Analytics</w:t>
      </w:r>
    </w:p>
    <w:p>
      <w:pPr>
        <w:spacing w:after="60"/>
      </w:pPr>
      <w:r>
        <w:rPr>
          <w:rFonts w:ascii="Arial" w:cs="Arial" w:eastAsia="Arial" w:hAnsi="Arial"/>
          <w:b/>
          <w:bCs/>
          <w:sz w:val="20"/>
          <w:szCs w:val="20"/>
        </w:rPr>
        <w:t xml:space="preserve">U.S. Bank (Elavon)  |  Remote</w:t>
      </w:r>
      <w:r>
        <w:rPr>
          <w:rFonts w:ascii="Arial" w:cs="Arial" w:eastAsia="Arial" w:hAnsi="Arial"/>
          <w:color w:val="666666"/>
          <w:sz w:val="20"/>
          <w:szCs w:val="20"/>
        </w:rPr>
        <w:t xml:space="preserve">  |  2023 – 2024</w:t>
      </w:r>
    </w:p>
    <w:p>
      <w:pPr>
        <w:spacing w:before="0" w:after="60"/>
      </w:pPr>
      <w:r>
        <w:rPr>
          <w:rFonts w:ascii="Arial" w:cs="Arial" w:eastAsia="Arial" w:hAnsi="Arial"/>
          <w:i/>
          <w:iCs/>
          <w:color w:val="444444"/>
          <w:sz w:val="20"/>
          <w:szCs w:val="20"/>
        </w:rPr>
        <w:t xml:space="preserve">Led data platform product strategy for a payments and financial services business, specializing in metadata architecture, behavioral analytics, and cross-functional data pipeline delivery.</w:t>
      </w:r>
    </w:p>
    <w:p>
      <w:pPr>
        <w:pStyle w:val="ListParagraph"/>
        <w:numPr>
          <w:ilvl w:val="0"/>
          <w:numId w:val="2"/>
        </w:numPr>
        <w:spacing w:before="40" w:after="40"/>
      </w:pPr>
      <w:r>
        <w:rPr>
          <w:rFonts w:ascii="Arial" w:cs="Arial" w:eastAsia="Arial" w:hAnsi="Arial"/>
          <w:sz w:val="20"/>
          <w:szCs w:val="20"/>
        </w:rPr>
        <w:t xml:space="preserve">Led the design and delivery of a Salesforce-to-analytics platform API integration, expanding metadata capture and enabling deeper behavioral and performance insights across product lines.</w:t>
      </w:r>
    </w:p>
    <w:p>
      <w:pPr>
        <w:pStyle w:val="ListParagraph"/>
        <w:numPr>
          <w:ilvl w:val="0"/>
          <w:numId w:val="2"/>
        </w:numPr>
        <w:spacing w:before="40" w:after="40"/>
      </w:pPr>
      <w:r>
        <w:rPr>
          <w:rFonts w:ascii="Arial" w:cs="Arial" w:eastAsia="Arial" w:hAnsi="Arial"/>
          <w:sz w:val="20"/>
          <w:szCs w:val="20"/>
        </w:rPr>
        <w:t xml:space="preserve">Defined a scalable metadata taxonomy to improve segmentation, reporting accuracy, and decision-making — enabling more precise performance monitoring analogous to loss ratio and retention trend analysis.</w:t>
      </w:r>
    </w:p>
    <w:p>
      <w:pPr>
        <w:pStyle w:val="ListParagraph"/>
        <w:numPr>
          <w:ilvl w:val="0"/>
          <w:numId w:val="2"/>
        </w:numPr>
        <w:spacing w:before="40" w:after="40"/>
      </w:pPr>
      <w:r>
        <w:rPr>
          <w:rFonts w:ascii="Arial" w:cs="Arial" w:eastAsia="Arial" w:hAnsi="Arial"/>
          <w:sz w:val="20"/>
          <w:szCs w:val="20"/>
        </w:rPr>
        <w:t xml:space="preserve">Built and maintained Tableau dashboards to monitor feature adoption, funnel drop-off, and behavioral trends, directly influencing roadmap prioritization and executive strategy sessions.</w:t>
      </w:r>
    </w:p>
    <w:p>
      <w:pPr>
        <w:pStyle w:val="ListParagraph"/>
        <w:numPr>
          <w:ilvl w:val="0"/>
          <w:numId w:val="2"/>
        </w:numPr>
        <w:spacing w:before="40" w:after="40"/>
      </w:pPr>
      <w:r>
        <w:rPr>
          <w:rFonts w:ascii="Arial" w:cs="Arial" w:eastAsia="Arial" w:hAnsi="Arial"/>
          <w:sz w:val="20"/>
          <w:szCs w:val="20"/>
        </w:rPr>
        <w:t xml:space="preserve">Ensured data quality, scalability, and privacy compliance in partnership with Engineering and Data Science teams.</w:t>
      </w:r>
    </w:p>
    <w:p>
      <w:pPr>
        <w:spacing w:before="180" w:after="40"/>
      </w:pPr>
      <w:r>
        <w:rPr>
          <w:rFonts w:ascii="Arial" w:cs="Arial" w:eastAsia="Arial" w:hAnsi="Arial"/>
          <w:b/>
          <w:bCs/>
          <w:color w:val="2E75B6"/>
          <w:sz w:val="22"/>
          <w:szCs w:val="22"/>
        </w:rPr>
        <w:t xml:space="preserve">Business Support Analyst / Associate Product Manager</w:t>
      </w:r>
    </w:p>
    <w:p>
      <w:pPr>
        <w:spacing w:after="60"/>
      </w:pPr>
      <w:r>
        <w:rPr>
          <w:rFonts w:ascii="Arial" w:cs="Arial" w:eastAsia="Arial" w:hAnsi="Arial"/>
          <w:b/>
          <w:bCs/>
          <w:sz w:val="20"/>
          <w:szCs w:val="20"/>
        </w:rPr>
        <w:t xml:space="preserve">USAA  |  Hybrid</w:t>
      </w:r>
      <w:r>
        <w:rPr>
          <w:rFonts w:ascii="Arial" w:cs="Arial" w:eastAsia="Arial" w:hAnsi="Arial"/>
          <w:color w:val="666666"/>
          <w:sz w:val="20"/>
          <w:szCs w:val="20"/>
        </w:rPr>
        <w:t xml:space="preserve">  |  2018 – 2019</w:t>
      </w:r>
    </w:p>
    <w:p>
      <w:pPr>
        <w:pStyle w:val="ListParagraph"/>
        <w:numPr>
          <w:ilvl w:val="0"/>
          <w:numId w:val="2"/>
        </w:numPr>
        <w:spacing w:before="40" w:after="40"/>
      </w:pPr>
      <w:r>
        <w:rPr>
          <w:rFonts w:ascii="Arial" w:cs="Arial" w:eastAsia="Arial" w:hAnsi="Arial"/>
          <w:sz w:val="20"/>
          <w:szCs w:val="20"/>
        </w:rPr>
        <w:t xml:space="preserve">Supported digital and contact-center insurance platforms through business analysis, IT coordination, and Agile delivery.</w:t>
      </w:r>
    </w:p>
    <w:p>
      <w:pPr>
        <w:pStyle w:val="ListParagraph"/>
        <w:numPr>
          <w:ilvl w:val="0"/>
          <w:numId w:val="2"/>
        </w:numPr>
        <w:spacing w:before="40" w:after="40"/>
      </w:pPr>
      <w:r>
        <w:rPr>
          <w:rFonts w:ascii="Arial" w:cs="Arial" w:eastAsia="Arial" w:hAnsi="Arial"/>
          <w:sz w:val="20"/>
          <w:szCs w:val="20"/>
        </w:rPr>
        <w:t xml:space="preserve">Translated complex business and regulatory requirements into actionable product and technical specifications, supporting sprint planning and cross-functional enablement.</w:t>
      </w:r>
    </w:p>
    <w:p>
      <w:pPr>
        <w:spacing w:before="180" w:after="40"/>
      </w:pPr>
      <w:r>
        <w:rPr>
          <w:rFonts w:ascii="Arial" w:cs="Arial" w:eastAsia="Arial" w:hAnsi="Arial"/>
          <w:b/>
          <w:bCs/>
          <w:color w:val="2E75B6"/>
          <w:sz w:val="22"/>
          <w:szCs w:val="22"/>
        </w:rPr>
        <w:t xml:space="preserve">Customer Solutions Specialist – Auto &amp; Insurance Products (Licensed)</w:t>
      </w:r>
    </w:p>
    <w:p>
      <w:pPr>
        <w:spacing w:after="60"/>
      </w:pPr>
      <w:r>
        <w:rPr>
          <w:rFonts w:ascii="Arial" w:cs="Arial" w:eastAsia="Arial" w:hAnsi="Arial"/>
          <w:b/>
          <w:bCs/>
          <w:sz w:val="20"/>
          <w:szCs w:val="20"/>
        </w:rPr>
        <w:t xml:space="preserve">USAA  |  Remote</w:t>
      </w:r>
      <w:r>
        <w:rPr>
          <w:rFonts w:ascii="Arial" w:cs="Arial" w:eastAsia="Arial" w:hAnsi="Arial"/>
          <w:color w:val="666666"/>
          <w:sz w:val="20"/>
          <w:szCs w:val="20"/>
        </w:rPr>
        <w:t xml:space="preserve">  |  2014 – 2018</w:t>
      </w:r>
    </w:p>
    <w:p>
      <w:pPr>
        <w:pStyle w:val="ListParagraph"/>
        <w:numPr>
          <w:ilvl w:val="0"/>
          <w:numId w:val="2"/>
        </w:numPr>
        <w:spacing w:before="40" w:after="40"/>
      </w:pPr>
      <w:r>
        <w:rPr>
          <w:rFonts w:ascii="Arial" w:cs="Arial" w:eastAsia="Arial" w:hAnsi="Arial"/>
          <w:sz w:val="20"/>
          <w:szCs w:val="20"/>
        </w:rPr>
        <w:t xml:space="preserve">Supported members with complex personal auto, property, and financial insurance products, developing deep domain expertise and empathy for member needs and service pain points.</w:t>
      </w:r>
    </w:p>
    <w:p>
      <w:pPr>
        <w:pStyle w:val="ListParagraph"/>
        <w:numPr>
          <w:ilvl w:val="0"/>
          <w:numId w:val="2"/>
        </w:numPr>
        <w:spacing w:before="40" w:after="40"/>
      </w:pPr>
      <w:r>
        <w:rPr>
          <w:rFonts w:ascii="Arial" w:cs="Arial" w:eastAsia="Arial" w:hAnsi="Arial"/>
          <w:sz w:val="20"/>
          <w:szCs w:val="20"/>
        </w:rPr>
        <w:t xml:space="preserve">Built firsthand understanding of auto insurance product structures, coverage options, underwriting factors, and member lifecycle — directly informing later product leadership roles.</w:t>
      </w:r>
    </w:p>
    <w:p>
      <w:pPr>
        <w:pBdr>
          <w:bottom w:val="single" w:color="2E75B6" w:sz="6"/>
        </w:pBdr>
        <w:shd w:fill="1F3864" w:val="clear"/>
        <w:spacing w:before="200" w:after="100"/>
      </w:pPr>
      <w:r>
        <w:rPr>
          <w:rFonts w:ascii="Arial" w:cs="Arial" w:eastAsia="Arial" w:hAnsi="Arial"/>
          <w:b/>
          <w:bCs/>
          <w:color w:val="FFFFFF"/>
          <w:sz w:val="22"/>
          <w:szCs w:val="22"/>
        </w:rPr>
        <w:t xml:space="preserve">EDUCATION</w:t>
      </w:r>
    </w:p>
    <w:p>
      <w:pPr>
        <w:spacing w:before="120" w:after="40"/>
      </w:pPr>
      <w:r>
        <w:rPr>
          <w:rFonts w:ascii="Arial" w:cs="Arial" w:eastAsia="Arial" w:hAnsi="Arial"/>
          <w:b/>
          <w:bCs/>
          <w:sz w:val="20"/>
          <w:szCs w:val="20"/>
        </w:rPr>
        <w:t xml:space="preserve">Master of Arts (MA), Organizational Management – Specialization in Project Management</w:t>
      </w:r>
    </w:p>
    <w:p>
      <w:pPr>
        <w:spacing w:after="100"/>
      </w:pPr>
      <w:r>
        <w:rPr>
          <w:rFonts w:ascii="Arial" w:cs="Arial" w:eastAsia="Arial" w:hAnsi="Arial"/>
          <w:sz w:val="20"/>
          <w:szCs w:val="20"/>
        </w:rPr>
        <w:t xml:space="preserve">The University of Arizona Global Campus</w:t>
      </w:r>
      <w:r>
        <w:rPr>
          <w:rFonts w:ascii="Arial" w:cs="Arial" w:eastAsia="Arial" w:hAnsi="Arial"/>
          <w:color w:val="666666"/>
          <w:sz w:val="20"/>
          <w:szCs w:val="20"/>
        </w:rPr>
        <w:t xml:space="preserve">  |  2017 – 2018  |  Golden Key International Honours Society</w:t>
      </w:r>
    </w:p>
    <w:p>
      <w:pPr>
        <w:spacing w:before="40" w:after="40"/>
      </w:pPr>
      <w:r>
        <w:rPr>
          <w:rFonts w:ascii="Arial" w:cs="Arial" w:eastAsia="Arial" w:hAnsi="Arial"/>
          <w:b/>
          <w:bCs/>
          <w:sz w:val="20"/>
          <w:szCs w:val="20"/>
        </w:rPr>
        <w:t xml:space="preserve">Bachelor of Arts (BA), Liberal Arts and Sciences / Liberal Studies</w:t>
      </w:r>
    </w:p>
    <w:p>
      <w:pPr>
        <w:spacing w:after="100"/>
      </w:pPr>
      <w:r>
        <w:rPr>
          <w:rFonts w:ascii="Arial" w:cs="Arial" w:eastAsia="Arial" w:hAnsi="Arial"/>
          <w:sz w:val="20"/>
          <w:szCs w:val="20"/>
        </w:rPr>
        <w:t xml:space="preserve">Boricua College</w:t>
      </w:r>
      <w:r>
        <w:rPr>
          <w:rFonts w:ascii="Arial" w:cs="Arial" w:eastAsia="Arial" w:hAnsi="Arial"/>
          <w:color w:val="666666"/>
          <w:sz w:val="20"/>
          <w:szCs w:val="20"/>
        </w:rPr>
        <w:t xml:space="preserve">  |  2000 – 2006</w:t>
      </w:r>
    </w:p>
    <w:p>
      <w:pPr>
        <w:pBdr>
          <w:bottom w:val="single" w:color="2E75B6" w:sz="6"/>
        </w:pBdr>
        <w:shd w:fill="1F3864" w:val="clear"/>
        <w:spacing w:before="200" w:after="100"/>
      </w:pPr>
      <w:r>
        <w:rPr>
          <w:rFonts w:ascii="Arial" w:cs="Arial" w:eastAsia="Arial" w:hAnsi="Arial"/>
          <w:b/>
          <w:bCs/>
          <w:color w:val="FFFFFF"/>
          <w:sz w:val="22"/>
          <w:szCs w:val="22"/>
        </w:rPr>
        <w:t xml:space="preserve">TECHNICAL TOOLS &amp; PLATFORMS</w:t>
      </w:r>
    </w:p>
    <w:p>
      <w:pPr>
        <w:spacing w:before="80" w:after="80"/>
        <w:jc w:val="center"/>
      </w:pPr>
      <w:r>
        <w:rPr>
          <w:rFonts w:ascii="Arial" w:cs="Arial" w:eastAsia="Arial" w:hAnsi="Arial"/>
          <w:sz w:val="20"/>
          <w:szCs w:val="20"/>
        </w:rPr>
        <w:t xml:space="preserve">SQL  •  Tableau  •  Excel (Advanced)  •  Salesforce CRM  •  Agile / Scrum (Jira)  •  API Product Management  •  Data Analytics &amp; Instrumentation  •  Digital Analytics Platforms  •  Python (Analytical Context)  •  Metadata &amp; Taxonomy Design</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453gewvbfs1tnorwyyfg4" Type="http://schemas.openxmlformats.org/officeDocument/2006/relationships/hyperlink" Target="http://www.linkedin.com/in/veronicagaymon"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2026-02-23T23:25:52.262Z</dcterms:created>
  <dcterms:modified xsi:type="dcterms:W3CDTF">2026-02-23T23:25:52.263Z</dcterms:modified>
</cp:coreProperties>
</file>

<file path=docProps/custom.xml><?xml version="1.0" encoding="utf-8"?>
<Properties xmlns="http://schemas.openxmlformats.org/officeDocument/2006/custom-properties" xmlns:vt="http://schemas.openxmlformats.org/officeDocument/2006/docPropsVTypes"/>
</file>